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2FD" w:rsidRDefault="003252FD" w:rsidP="003252F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3252FD" w:rsidRDefault="003252FD" w:rsidP="003252F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BF45EA" w:rsidRPr="00980B19" w:rsidRDefault="00BF45EA" w:rsidP="00BF45EA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 w:rsidRPr="00980B19">
        <w:rPr>
          <w:rFonts w:ascii="Arial" w:hAnsi="Arial" w:cs="Arial"/>
          <w:bCs/>
          <w:sz w:val="36"/>
          <w:szCs w:val="36"/>
          <w:lang w:eastAsia="en-US"/>
        </w:rPr>
        <w:t>Dorota Wierzbicka - Kanarek</w:t>
      </w:r>
    </w:p>
    <w:p w:rsidR="00BF45EA" w:rsidRPr="00980B19" w:rsidRDefault="00BF45EA" w:rsidP="00BF45EA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 w:rsidRPr="00980B19">
        <w:rPr>
          <w:rFonts w:ascii="Arial" w:hAnsi="Arial" w:cs="Arial"/>
          <w:b/>
          <w:bCs/>
          <w:sz w:val="48"/>
          <w:szCs w:val="96"/>
          <w:lang w:eastAsia="en-US"/>
        </w:rPr>
        <w:t>MATEMATYKA</w:t>
      </w:r>
    </w:p>
    <w:p w:rsidR="00BF45EA" w:rsidRPr="00980B19" w:rsidRDefault="00BF45EA" w:rsidP="00BF45EA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>
        <w:rPr>
          <w:rFonts w:ascii="Arial" w:hAnsi="Arial" w:cs="Arial"/>
          <w:b/>
          <w:bCs/>
          <w:sz w:val="48"/>
          <w:szCs w:val="96"/>
          <w:lang w:eastAsia="en-US"/>
        </w:rPr>
        <w:t>KLASA IV C</w:t>
      </w:r>
    </w:p>
    <w:p w:rsidR="00BF45EA" w:rsidRPr="00980B19" w:rsidRDefault="00BF45EA" w:rsidP="00BF45EA">
      <w:pPr>
        <w:keepNext/>
        <w:keepLines/>
        <w:spacing w:before="200" w:line="276" w:lineRule="auto"/>
        <w:jc w:val="right"/>
        <w:outlineLvl w:val="1"/>
        <w:rPr>
          <w:rFonts w:ascii="Arial" w:hAnsi="Arial" w:cs="Arial"/>
          <w:b/>
          <w:bCs/>
          <w:sz w:val="48"/>
          <w:szCs w:val="96"/>
          <w:lang w:eastAsia="en-US"/>
        </w:rPr>
      </w:pPr>
      <w:r>
        <w:rPr>
          <w:rFonts w:ascii="Arial" w:hAnsi="Arial" w:cs="Arial"/>
          <w:b/>
          <w:bCs/>
          <w:sz w:val="48"/>
          <w:szCs w:val="96"/>
          <w:lang w:eastAsia="en-US"/>
        </w:rPr>
        <w:t>2022/2023</w:t>
      </w:r>
    </w:p>
    <w:p w:rsidR="00BF45EA" w:rsidRPr="00980B19" w:rsidRDefault="00BF45EA" w:rsidP="00BF45EA">
      <w:pPr>
        <w:keepNext/>
        <w:keepLines/>
        <w:spacing w:before="200" w:line="276" w:lineRule="auto"/>
        <w:jc w:val="right"/>
        <w:outlineLvl w:val="3"/>
        <w:rPr>
          <w:i/>
          <w:iCs/>
          <w:color w:val="4F81BD"/>
        </w:rPr>
      </w:pPr>
    </w:p>
    <w:p w:rsidR="00BF45EA" w:rsidRPr="00980B19" w:rsidRDefault="00BF45EA" w:rsidP="00BF45EA">
      <w:pPr>
        <w:keepNext/>
        <w:keepLines/>
        <w:spacing w:before="200" w:after="240" w:line="276" w:lineRule="auto"/>
        <w:jc w:val="center"/>
        <w:outlineLvl w:val="1"/>
        <w:rPr>
          <w:rFonts w:ascii="Arial" w:hAnsi="Arial" w:cs="Arial"/>
          <w:b/>
          <w:bCs/>
          <w:sz w:val="36"/>
          <w:szCs w:val="36"/>
          <w:lang w:eastAsia="en-US"/>
        </w:rPr>
      </w:pPr>
      <w:r w:rsidRPr="00980B19">
        <w:rPr>
          <w:rFonts w:ascii="Arial" w:hAnsi="Arial" w:cs="Arial"/>
          <w:b/>
          <w:bCs/>
          <w:sz w:val="36"/>
          <w:szCs w:val="36"/>
          <w:lang w:eastAsia="en-US"/>
        </w:rPr>
        <w:t xml:space="preserve">                  Przedmiotowy system oceniania </w:t>
      </w:r>
      <w:r w:rsidRPr="00980B19">
        <w:rPr>
          <w:rFonts w:ascii="Arial" w:hAnsi="Arial" w:cs="Arial"/>
          <w:b/>
          <w:bCs/>
          <w:sz w:val="36"/>
          <w:szCs w:val="36"/>
          <w:lang w:eastAsia="en-US"/>
        </w:rPr>
        <w:br/>
        <w:t>wraz z określeniem wymagań edukacyjnych</w:t>
      </w:r>
    </w:p>
    <w:p w:rsidR="00BF45EA" w:rsidRPr="00980B19" w:rsidRDefault="00BF45EA" w:rsidP="00BF45EA">
      <w:pPr>
        <w:jc w:val="center"/>
        <w:rPr>
          <w:sz w:val="34"/>
        </w:rPr>
      </w:pPr>
      <w:r w:rsidRPr="00980B19">
        <w:rPr>
          <w:sz w:val="36"/>
          <w:szCs w:val="36"/>
        </w:rPr>
        <w:t>Zakres podstawowy i rozszerzony</w:t>
      </w:r>
    </w:p>
    <w:p w:rsidR="00BF45EA" w:rsidRPr="00980B19" w:rsidRDefault="00BF45EA" w:rsidP="00BF45EA">
      <w:pPr>
        <w:keepNext/>
        <w:keepLines/>
        <w:spacing w:before="200" w:line="276" w:lineRule="auto"/>
        <w:jc w:val="center"/>
        <w:outlineLvl w:val="3"/>
        <w:rPr>
          <w:b/>
          <w:bCs/>
          <w:i/>
          <w:iCs/>
          <w:color w:val="4F81BD"/>
        </w:rPr>
      </w:pPr>
    </w:p>
    <w:p w:rsidR="00BF45EA" w:rsidRPr="00980B19" w:rsidRDefault="00BF45EA" w:rsidP="00BF45EA">
      <w:pPr>
        <w:keepNext/>
        <w:keepLines/>
        <w:spacing w:before="200" w:line="276" w:lineRule="auto"/>
        <w:jc w:val="center"/>
        <w:outlineLvl w:val="3"/>
        <w:rPr>
          <w:b/>
          <w:bCs/>
          <w:i/>
          <w:iCs/>
          <w:color w:val="4F81BD"/>
        </w:rPr>
      </w:pPr>
    </w:p>
    <w:p w:rsidR="003252FD" w:rsidRDefault="003252FD" w:rsidP="003252F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3252FD" w:rsidRDefault="003252FD" w:rsidP="003252FD">
      <w:pPr>
        <w:pStyle w:val="StronaTytuowaTytu"/>
        <w:spacing w:line="120" w:lineRule="atLeast"/>
        <w:rPr>
          <w:rFonts w:ascii="Times New Roman" w:hAnsi="Times New Roman"/>
          <w:sz w:val="72"/>
          <w:szCs w:val="72"/>
        </w:rPr>
      </w:pPr>
    </w:p>
    <w:p w:rsidR="003252FD" w:rsidRDefault="003252FD" w:rsidP="003252FD">
      <w:pPr>
        <w:pStyle w:val="StronaTytuowaTytu"/>
        <w:spacing w:line="120" w:lineRule="atLeast"/>
        <w:ind w:left="360"/>
        <w:rPr>
          <w:rFonts w:ascii="Times New Roman" w:hAnsi="Times New Roman"/>
          <w:sz w:val="72"/>
          <w:szCs w:val="72"/>
        </w:rPr>
      </w:pPr>
    </w:p>
    <w:p w:rsidR="003252FD" w:rsidRDefault="003252FD" w:rsidP="003252FD"/>
    <w:p w:rsidR="003252FD" w:rsidRDefault="003252FD" w:rsidP="003252FD"/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czynności lub wiedzy będzie wymagał na ocenę dopuszczającą (2), dostateczną (3), dobrą (4), bardzo dobrą (5) </w:t>
      </w:r>
      <w:r>
        <w:rPr>
          <w:sz w:val="22"/>
          <w:szCs w:val="22"/>
        </w:rPr>
        <w:t>czy</w:t>
      </w:r>
      <w:r w:rsidRPr="003C5E85">
        <w:rPr>
          <w:sz w:val="22"/>
          <w:szCs w:val="22"/>
        </w:rPr>
        <w:t xml:space="preserve"> celującą (6).</w:t>
      </w:r>
    </w:p>
    <w:p w:rsidR="003252FD" w:rsidRPr="003C5E85" w:rsidRDefault="003252FD" w:rsidP="003252FD">
      <w:pPr>
        <w:spacing w:line="360" w:lineRule="auto"/>
        <w:jc w:val="both"/>
        <w:rPr>
          <w:sz w:val="22"/>
          <w:szCs w:val="22"/>
        </w:rPr>
      </w:pPr>
    </w:p>
    <w:p w:rsidR="003252FD" w:rsidRPr="003C5E85" w:rsidRDefault="003252FD" w:rsidP="003252FD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konieczne (K)</w:t>
      </w:r>
      <w:r w:rsidRPr="003C5E85">
        <w:rPr>
          <w:sz w:val="22"/>
          <w:szCs w:val="22"/>
        </w:rPr>
        <w:t xml:space="preserve"> dotyczą zagadnień elementarnych, stanowiących swego rodzaju podstawę, powinny być zatem opanowane przez każdego ucznia.</w:t>
      </w:r>
    </w:p>
    <w:p w:rsidR="003252FD" w:rsidRPr="003C5E85" w:rsidRDefault="003252FD" w:rsidP="003252FD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podstawowe (P)</w:t>
      </w:r>
      <w:r w:rsidRPr="003C5E85">
        <w:rPr>
          <w:sz w:val="22"/>
          <w:szCs w:val="22"/>
        </w:rPr>
        <w:t xml:space="preserve"> zawierają wymagania z poziomu (K) wzbogacone </w:t>
      </w:r>
      <w:r w:rsidRPr="003C5E85">
        <w:rPr>
          <w:sz w:val="22"/>
          <w:szCs w:val="22"/>
        </w:rPr>
        <w:br/>
        <w:t>o typowe problemy o niewielkim stopniu trudności.</w:t>
      </w:r>
    </w:p>
    <w:p w:rsidR="003252FD" w:rsidRPr="003C5E85" w:rsidRDefault="003252FD" w:rsidP="003252FD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lastRenderedPageBreak/>
        <w:t xml:space="preserve">Wymagania </w:t>
      </w:r>
      <w:r w:rsidRPr="003C5E85">
        <w:rPr>
          <w:b/>
          <w:sz w:val="22"/>
          <w:szCs w:val="22"/>
        </w:rPr>
        <w:t>rozszerzające (R)</w:t>
      </w:r>
      <w:r w:rsidRPr="003C5E85">
        <w:rPr>
          <w:sz w:val="22"/>
          <w:szCs w:val="22"/>
        </w:rPr>
        <w:t>, zawierające wymagania z poziomów (K) i (P), dotyczą zagadnień bardziej złożonych i nieco trudniejszych.</w:t>
      </w:r>
    </w:p>
    <w:p w:rsidR="003252FD" w:rsidRPr="003C5E85" w:rsidRDefault="003252FD" w:rsidP="003252FD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dopełniające (D)</w:t>
      </w:r>
      <w:r w:rsidRPr="003C5E85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:rsidR="003252FD" w:rsidRPr="003C5E85" w:rsidRDefault="003252FD" w:rsidP="003252FD">
      <w:pPr>
        <w:numPr>
          <w:ilvl w:val="0"/>
          <w:numId w:val="5"/>
        </w:num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</w:t>
      </w:r>
      <w:r w:rsidRPr="003C5E85">
        <w:rPr>
          <w:b/>
          <w:sz w:val="22"/>
          <w:szCs w:val="22"/>
        </w:rPr>
        <w:t>wykraczające (W)</w:t>
      </w:r>
      <w:r w:rsidRPr="003C5E85">
        <w:rPr>
          <w:sz w:val="22"/>
          <w:szCs w:val="22"/>
        </w:rPr>
        <w:t xml:space="preserve"> dotyczą zagadnień trudnych, oryginalnych, wykraczających poza obowiązkowy program nauczania.</w:t>
      </w:r>
    </w:p>
    <w:p w:rsidR="003252FD" w:rsidRPr="003C5E85" w:rsidRDefault="003252FD" w:rsidP="003252FD">
      <w:pPr>
        <w:ind w:left="360"/>
        <w:jc w:val="both"/>
        <w:rPr>
          <w:sz w:val="22"/>
          <w:szCs w:val="22"/>
        </w:rPr>
      </w:pPr>
    </w:p>
    <w:p w:rsidR="003252FD" w:rsidRPr="003C5E85" w:rsidRDefault="003252FD" w:rsidP="003252FD">
      <w:pPr>
        <w:spacing w:after="1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Poniżej przedstawiony został podział wymagań na poszczególne oceny szkolne:</w:t>
      </w:r>
    </w:p>
    <w:p w:rsidR="003252FD" w:rsidRPr="003C5E85" w:rsidRDefault="003252FD" w:rsidP="003252FD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dopuszczająca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</w:t>
      </w:r>
    </w:p>
    <w:p w:rsidR="003252FD" w:rsidRPr="003C5E85" w:rsidRDefault="003252FD" w:rsidP="003252FD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dostateczna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 i (P)</w:t>
      </w:r>
    </w:p>
    <w:p w:rsidR="003252FD" w:rsidRPr="003C5E85" w:rsidRDefault="003252FD" w:rsidP="003252FD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dobra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(K), (P) i (R)</w:t>
      </w:r>
    </w:p>
    <w:p w:rsidR="003252FD" w:rsidRPr="003C5E85" w:rsidRDefault="003252FD" w:rsidP="003252FD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bardzo dobra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(K), (P), (R) i (D)</w:t>
      </w:r>
    </w:p>
    <w:p w:rsidR="003252FD" w:rsidRPr="003C5E85" w:rsidRDefault="003252FD" w:rsidP="003252FD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3C5E85">
        <w:rPr>
          <w:sz w:val="22"/>
          <w:szCs w:val="22"/>
        </w:rPr>
        <w:t>ocena celująca</w:t>
      </w:r>
      <w:r w:rsidRPr="003C5E85">
        <w:rPr>
          <w:sz w:val="22"/>
          <w:szCs w:val="22"/>
        </w:rPr>
        <w:tab/>
        <w:t xml:space="preserve">– </w:t>
      </w:r>
      <w:r w:rsidRPr="003C5E85">
        <w:rPr>
          <w:sz w:val="22"/>
          <w:szCs w:val="22"/>
        </w:rPr>
        <w:tab/>
        <w:t>wymagania na poziomie (K), (P), (R), (D) i (W)</w:t>
      </w:r>
    </w:p>
    <w:p w:rsidR="003252FD" w:rsidRPr="003C5E85" w:rsidRDefault="003252FD" w:rsidP="003252FD">
      <w:pPr>
        <w:spacing w:line="360" w:lineRule="auto"/>
        <w:ind w:left="360"/>
        <w:jc w:val="both"/>
        <w:rPr>
          <w:sz w:val="22"/>
          <w:szCs w:val="22"/>
        </w:rPr>
      </w:pP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>Ten podział należy traktować jedynie jako propozycję. Poniżej przedstawiono wymagania dla zakresu rozszerzonego. Połączenie wymagań koniecznych i podstawowych, a także rozszerzających i dopełniających pozwoli nauczycielowi dostosować wymagania do specyfiki klasy.</w:t>
      </w:r>
    </w:p>
    <w:p w:rsidR="003252FD" w:rsidRPr="003C5E85" w:rsidRDefault="003252FD" w:rsidP="003252FD">
      <w:pPr>
        <w:rPr>
          <w:sz w:val="22"/>
          <w:szCs w:val="22"/>
        </w:rPr>
      </w:pPr>
    </w:p>
    <w:p w:rsidR="003252FD" w:rsidRDefault="003252FD" w:rsidP="003252FD">
      <w:pPr>
        <w:rPr>
          <w:sz w:val="22"/>
          <w:szCs w:val="22"/>
        </w:rPr>
      </w:pPr>
    </w:p>
    <w:p w:rsidR="003252FD" w:rsidRDefault="003252FD" w:rsidP="003252FD">
      <w:pPr>
        <w:rPr>
          <w:sz w:val="22"/>
          <w:szCs w:val="22"/>
        </w:rPr>
      </w:pPr>
    </w:p>
    <w:p w:rsidR="003252FD" w:rsidRPr="003C5E85" w:rsidRDefault="003252FD" w:rsidP="003252FD">
      <w:pPr>
        <w:rPr>
          <w:sz w:val="22"/>
          <w:szCs w:val="22"/>
        </w:rPr>
      </w:pPr>
    </w:p>
    <w:p w:rsidR="003252FD" w:rsidRPr="003C5E85" w:rsidRDefault="003252FD" w:rsidP="003252FD">
      <w:pPr>
        <w:rPr>
          <w:b/>
          <w:bCs/>
          <w:sz w:val="22"/>
          <w:szCs w:val="22"/>
        </w:rPr>
      </w:pPr>
      <w:r w:rsidRPr="003C5E85">
        <w:rPr>
          <w:b/>
          <w:bCs/>
          <w:sz w:val="22"/>
          <w:szCs w:val="22"/>
        </w:rPr>
        <w:t>1. RACHUNEK PRAWDOPODOBIEŃSTWA</w:t>
      </w: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wypisuje wszystkie możliwe wyniki danego doświadczenia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regułę mnożenia </w:t>
            </w:r>
            <w:r w:rsidRPr="003A4E67">
              <w:rPr>
                <w:bCs/>
                <w:sz w:val="22"/>
                <w:szCs w:val="22"/>
              </w:rPr>
              <w:t>do wyznaczenia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typowych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przedstawia drzewo ilustrujące wyniki danego doświadczenia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wszystkie możliwe permutacje danego zbioru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wykonuje obliczenia, stosując definicję silni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symbolu Newtona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regułę dodawania do</w:t>
            </w:r>
            <w:r w:rsidRPr="003C5E85">
              <w:rPr>
                <w:bCs/>
                <w:sz w:val="22"/>
                <w:szCs w:val="22"/>
              </w:rPr>
              <w:t xml:space="preserve"> obliczania liczby wyników spełniających dany warunek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podstawowe pojęcia kombinatoryki do rozwiązywania zadań o niewielkim stopniu trudności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określa przestrzeń (zbiór) zdarzeń elementarnych dla danego doświadczenia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wypisuje wyniki sprzyjające danemu zdarzeniu losowemu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zdarzenia: przeciwne, niemożliwe, pewne i wykluczające się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sumę, iloczyn i różnicę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typowych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prawdopodobieństwa</w:t>
            </w:r>
            <w:r>
              <w:rPr>
                <w:sz w:val="22"/>
                <w:szCs w:val="22"/>
              </w:rPr>
              <w:t xml:space="preserve"> </w:t>
            </w:r>
            <w:r w:rsidRPr="00E848AA">
              <w:rPr>
                <w:sz w:val="22"/>
                <w:szCs w:val="22"/>
              </w:rPr>
              <w:t>dla rzutu kostką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zdarzenia przeciwnego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sprawdza, czy są spełnione założenia twierdzenia o prawdopodobieństwie całkowitym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przyczyny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ilustruje doświadczenie wieloetapowe za pomocą drzewa 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prawdopodobieństwo sukcesu i porażki w pojedynczej próbie </w:t>
            </w:r>
            <w:proofErr w:type="spellStart"/>
            <w:r w:rsidRPr="003C5E85">
              <w:rPr>
                <w:sz w:val="22"/>
                <w:szCs w:val="22"/>
              </w:rPr>
              <w:t>Bernulliego</w:t>
            </w:r>
            <w:proofErr w:type="spellEnd"/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 i przedstawia go za pomocą tabeli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</w:t>
            </w:r>
            <w:r>
              <w:rPr>
                <w:sz w:val="22"/>
                <w:szCs w:val="22"/>
              </w:rPr>
              <w:t>,</w:t>
            </w:r>
            <w:r w:rsidRPr="003C5E85">
              <w:rPr>
                <w:sz w:val="22"/>
                <w:szCs w:val="22"/>
              </w:rPr>
              <w:t xml:space="preserve"> czy gra jest sprawiedliwa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regułę mnożenia i regułę dodawania do obliczania liczby wyników doświadczenia spełniających dany warunek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permutacji danego zbioru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bez powtórzeń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wariacji z powtórzeniami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liczbę kombinacji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trójkąta Pascala 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wykorzystuje wzór dwumianowy Newtona do rozwinięcia wyrażeń postaci (</w:t>
            </w:r>
            <w:r w:rsidRPr="003C5E85">
              <w:rPr>
                <w:i/>
                <w:sz w:val="22"/>
                <w:szCs w:val="22"/>
              </w:rPr>
              <w:t>a</w:t>
            </w:r>
            <w:r w:rsidRPr="003C5E85">
              <w:rPr>
                <w:sz w:val="22"/>
                <w:szCs w:val="22"/>
              </w:rPr>
              <w:t xml:space="preserve"> + </w:t>
            </w:r>
            <w:r w:rsidRPr="003C5E85">
              <w:rPr>
                <w:i/>
                <w:sz w:val="22"/>
                <w:szCs w:val="22"/>
              </w:rPr>
              <w:t>b</w:t>
            </w:r>
            <w:r w:rsidRPr="003C5E85">
              <w:rPr>
                <w:sz w:val="22"/>
                <w:szCs w:val="22"/>
              </w:rPr>
              <w:t>)</w:t>
            </w:r>
            <w:r w:rsidRPr="003C5E85">
              <w:rPr>
                <w:i/>
                <w:sz w:val="22"/>
                <w:szCs w:val="22"/>
                <w:vertAlign w:val="superscript"/>
              </w:rPr>
              <w:t>n</w:t>
            </w:r>
            <w:r w:rsidRPr="003C5E85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wyznaczenia współczynników wielomianów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uzasadnia zależności, w których występuje symbol Newtona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klasyczną definicję prawdopodobieństwa do obliczania prawdopodobieństw zdarzeń losowych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 xml:space="preserve">w złożonych </w:t>
            </w:r>
            <w:r w:rsidRPr="003C5E85">
              <w:rPr>
                <w:bCs/>
                <w:sz w:val="22"/>
                <w:szCs w:val="22"/>
              </w:rPr>
              <w:t>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prawdopodobieństwie sumy zdarzeń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do obliczania prawdopodobieństw zdarzeń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własności prawdopodobieństwa w dowodach twierdzeń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warunkowe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prawdopodobieństwo całkowite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pStyle w:val="Akapitzlis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  <w:r w:rsidRPr="003C5E85" w:rsidDel="00D71FDA">
              <w:rPr>
                <w:sz w:val="22"/>
                <w:szCs w:val="22"/>
              </w:rPr>
              <w:t xml:space="preserve"> 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wzór Bayesa do obliczania prawdopodobieństwa zdarzenia</w:t>
            </w:r>
            <w:r w:rsidRPr="003C5E8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 w:rsidRPr="003C5E85">
              <w:rPr>
                <w:sz w:val="22"/>
                <w:szCs w:val="22"/>
              </w:rPr>
              <w:t xml:space="preserve"> sukcesów w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próbach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wzór </w:t>
            </w:r>
            <w:proofErr w:type="spellStart"/>
            <w:r w:rsidRPr="003C5E85">
              <w:rPr>
                <w:sz w:val="22"/>
                <w:szCs w:val="22"/>
              </w:rPr>
              <w:t>Bernoulliego</w:t>
            </w:r>
            <w:proofErr w:type="spellEnd"/>
            <w:r w:rsidRPr="003C5E85">
              <w:rPr>
                <w:sz w:val="22"/>
                <w:szCs w:val="22"/>
              </w:rPr>
              <w:t xml:space="preserve"> do obliczenia prawdopodobieństwa otrzymania co najmniej </w:t>
            </w:r>
            <w:r w:rsidRPr="003C5E85">
              <w:rPr>
                <w:i/>
                <w:iCs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 xml:space="preserve">sukcesów w </w:t>
            </w:r>
            <w:r w:rsidRPr="003C5E85">
              <w:rPr>
                <w:i/>
                <w:iCs/>
                <w:sz w:val="22"/>
                <w:szCs w:val="22"/>
              </w:rPr>
              <w:t>n</w:t>
            </w:r>
            <w:r w:rsidRPr="003C5E85">
              <w:rPr>
                <w:sz w:val="22"/>
                <w:szCs w:val="22"/>
              </w:rPr>
              <w:t xml:space="preserve"> próbach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podaje rozkład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wartość oczekiwaną zmiennej losowej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trudnych przypadkach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rozstrzyga, czy gra jest sprawiedliwa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3252FD" w:rsidRPr="003C5E85" w:rsidRDefault="003252FD" w:rsidP="003252FD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>, jeśli opanował wiedzę i umiejętności z poziomów</w:t>
      </w:r>
      <w:r>
        <w:rPr>
          <w:sz w:val="22"/>
          <w:szCs w:val="22"/>
        </w:rPr>
        <w:t xml:space="preserve"> od</w:t>
      </w:r>
      <w:r w:rsidRPr="003C5E85">
        <w:rPr>
          <w:sz w:val="22"/>
          <w:szCs w:val="22"/>
        </w:rPr>
        <w:t xml:space="preserve"> 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rozwiązuje zadania o znacznym stopniu trudności dotyczące </w:t>
            </w:r>
            <w:r>
              <w:rPr>
                <w:sz w:val="22"/>
                <w:szCs w:val="22"/>
              </w:rPr>
              <w:t xml:space="preserve">własności </w:t>
            </w:r>
            <w:r w:rsidRPr="003C5E85">
              <w:rPr>
                <w:sz w:val="22"/>
                <w:szCs w:val="22"/>
              </w:rPr>
              <w:t>prawdopodobieństwa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udowadnia wzór Bayesa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pStyle w:val="Tekstpodstawowy"/>
              <w:numPr>
                <w:ilvl w:val="0"/>
                <w:numId w:val="2"/>
              </w:numPr>
              <w:jc w:val="left"/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stosuje własności prawdopodobieństwa w dowodach twierdzeń </w:t>
            </w:r>
          </w:p>
        </w:tc>
      </w:tr>
    </w:tbl>
    <w:p w:rsidR="003252FD" w:rsidRPr="003C5E85" w:rsidRDefault="003252FD" w:rsidP="003252FD">
      <w:pPr>
        <w:rPr>
          <w:sz w:val="22"/>
          <w:szCs w:val="22"/>
        </w:rPr>
      </w:pPr>
    </w:p>
    <w:p w:rsidR="003252FD" w:rsidRDefault="003252FD" w:rsidP="003252FD">
      <w:pPr>
        <w:pStyle w:val="Nagwek2"/>
        <w:rPr>
          <w:sz w:val="22"/>
          <w:szCs w:val="22"/>
        </w:rPr>
      </w:pPr>
    </w:p>
    <w:p w:rsidR="003252FD" w:rsidRPr="003C5E85" w:rsidRDefault="003252FD" w:rsidP="003252FD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2. GRANIASTOSŁUPY I OSTROSŁUPY</w:t>
      </w: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w wielościanie proste prostopadłe, równoległe i skośne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wskazuje w wielościanie rzut prostokątny danego odcinka na daną płaszczyznę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określa liczbę ścian, wierzchołków i krawędzi wielościanu; sprawdza, czy istnieje graniastosłup o danej liczbie krawędzi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elementy charakterystyczne wielościanu (np. wierzchołek ostrosłupa)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oblicza pole powierzchni bocznej i całkowitej graniastosłupa i ostrosłupa 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siatkę wielościanu na podstawie jej fragmentu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długości przekątnych graniastosłupa prostego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objętość graniastosłupa prostego i ostrosłupa prawidłowego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przekątną graniastosłupa a płaszczyzną jego podstawy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kąty między odcinkami w ostrosłupie a płaszczyzną jego podstawy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wskazuje kąt między sąsiednimi ścianami wielościanu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typowe zadania dotyczące kąta między prostą a płaszczyzną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 w prostopadłościanach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wielościanu</w:t>
            </w:r>
            <w:r>
              <w:rPr>
                <w:sz w:val="22"/>
                <w:szCs w:val="22"/>
              </w:rPr>
              <w:t xml:space="preserve"> –</w:t>
            </w:r>
            <w:r w:rsidRPr="003C5E85"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t>typowych</w:t>
            </w:r>
            <w:r w:rsidRPr="003C5E85">
              <w:rPr>
                <w:sz w:val="22"/>
                <w:szCs w:val="22"/>
              </w:rPr>
              <w:t xml:space="preserve">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rysunku</w:t>
            </w:r>
            <w:r w:rsidRPr="003C5E85">
              <w:rPr>
                <w:sz w:val="22"/>
                <w:szCs w:val="22"/>
              </w:rPr>
              <w:t xml:space="preserve"> prostopadłościanu (sześcianu) i ostrosłupa prawidłowego </w:t>
            </w:r>
            <w:r>
              <w:rPr>
                <w:sz w:val="22"/>
                <w:szCs w:val="22"/>
              </w:rPr>
              <w:t>zaznacza ich</w:t>
            </w:r>
            <w:r w:rsidRPr="003C5E85">
              <w:rPr>
                <w:sz w:val="22"/>
                <w:szCs w:val="22"/>
              </w:rPr>
              <w:t xml:space="preserve"> przekroje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danego przekroju graniastosłupa lub ostrosłupa prawidłowego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color w:val="000000"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wnioskowania dotyczące położenia prostych w przestrzeni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prostej prostopadłej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i przekształca wzory na pola powierzchni i objętości wielościanów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:rsidR="003252FD" w:rsidRPr="003C5E85" w:rsidRDefault="003252FD" w:rsidP="004D4E01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wielościanu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miarę kąta dwuściennego między ścianami wielościanu oraz między ścianą wielościanu a jego przekrojem</w:t>
            </w:r>
            <w:r w:rsidRPr="003C5E85" w:rsidDel="00963CD6">
              <w:rPr>
                <w:bCs/>
                <w:sz w:val="22"/>
                <w:szCs w:val="22"/>
              </w:rPr>
              <w:t xml:space="preserve"> </w:t>
            </w:r>
            <w:r w:rsidRPr="003C5E85">
              <w:rPr>
                <w:bCs/>
                <w:sz w:val="22"/>
                <w:szCs w:val="22"/>
              </w:rPr>
              <w:t>(również z wykorzystaniem trygonometrii)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miary kąta między prostą a płaszczyzną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oblicza pola przekrojów prostopadłościanu i ostrosłupa prawidłowego (również z</w:t>
            </w:r>
            <w:r>
              <w:rPr>
                <w:bCs/>
                <w:sz w:val="22"/>
                <w:szCs w:val="22"/>
              </w:rPr>
              <w:t> </w:t>
            </w:r>
            <w:r w:rsidRPr="003C5E85">
              <w:rPr>
                <w:bCs/>
                <w:sz w:val="22"/>
                <w:szCs w:val="22"/>
              </w:rPr>
              <w:t xml:space="preserve">wykorzystaniem trygonometrii) 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uzasadniania prostopadłości prostych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dowód twierdzenia o trzech prostych prostopadłych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twierdzenie o trzech prostych prostopadłych do rozwiązywania zadań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pola przekrojów prostopadłościanu lub ostrosłupa prawidłowego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złożonych sytuacjach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3252FD" w:rsidRPr="003C5E85" w:rsidRDefault="003252FD" w:rsidP="003252FD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graniastosłupów i ostrosłupów oraz ich przekrojów (również z wykorzystaniem trygonometrii)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przeprowadza dowody twierdzeń dotyczących związków miarowych w wielościanach </w:t>
            </w:r>
          </w:p>
        </w:tc>
      </w:tr>
    </w:tbl>
    <w:p w:rsidR="003252FD" w:rsidRPr="003C5E85" w:rsidRDefault="003252FD" w:rsidP="003252FD">
      <w:pPr>
        <w:pStyle w:val="Nagwek2"/>
        <w:rPr>
          <w:sz w:val="22"/>
          <w:szCs w:val="22"/>
        </w:rPr>
      </w:pPr>
    </w:p>
    <w:p w:rsidR="003252FD" w:rsidRDefault="003252FD" w:rsidP="003252FD">
      <w:pPr>
        <w:pStyle w:val="Nagwek2"/>
        <w:rPr>
          <w:sz w:val="22"/>
          <w:szCs w:val="22"/>
        </w:rPr>
      </w:pPr>
    </w:p>
    <w:p w:rsidR="003252FD" w:rsidRPr="003C5E85" w:rsidRDefault="003252FD" w:rsidP="003252FD">
      <w:pPr>
        <w:pStyle w:val="Nagwek2"/>
        <w:rPr>
          <w:sz w:val="22"/>
          <w:szCs w:val="22"/>
        </w:rPr>
      </w:pPr>
      <w:r w:rsidRPr="003C5E85">
        <w:rPr>
          <w:sz w:val="22"/>
          <w:szCs w:val="22"/>
        </w:rPr>
        <w:t>3. BRYŁY OBROTOWE</w:t>
      </w: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lastRenderedPageBreak/>
              <w:t>wskazuje elementy charakterystyczne bryły obrotowej (np. kąt rozwarcia stożka)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zaznacza przekrój osiowy walca i stożka oraz przekroje kuli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oblicza pole powierzchni i objętość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dotyczące rozwinięcia powierzchni bocznej walca i stożka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stosuje funkcje trygonometryczne do obliczania pola powierzchni i objętości bryły obrotowej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wyznacza skalę podobieństwa brył podobnych</w:t>
            </w:r>
            <w:r>
              <w:rPr>
                <w:sz w:val="22"/>
                <w:szCs w:val="22"/>
              </w:rPr>
              <w:t xml:space="preserve"> – </w:t>
            </w:r>
            <w:r w:rsidRPr="003C5E85">
              <w:rPr>
                <w:sz w:val="22"/>
                <w:szCs w:val="22"/>
              </w:rPr>
              <w:t>w prostych przypadkach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 xml:space="preserve">stosuje </w:t>
            </w:r>
            <w:r w:rsidRPr="003C5E85">
              <w:rPr>
                <w:sz w:val="22"/>
                <w:szCs w:val="22"/>
              </w:rPr>
              <w:t>funkcje trygonometryczne i</w:t>
            </w:r>
            <w:r w:rsidRPr="003C5E85">
              <w:rPr>
                <w:bCs/>
                <w:sz w:val="22"/>
                <w:szCs w:val="22"/>
              </w:rPr>
              <w:t xml:space="preserve"> twierdzenia planimetrii </w:t>
            </w:r>
          </w:p>
          <w:p w:rsidR="003252FD" w:rsidRPr="003C5E85" w:rsidRDefault="003252FD" w:rsidP="004D4E01">
            <w:pPr>
              <w:ind w:left="720"/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do obliczenia pola powierzchni i objętości bryły obrotowej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złożonych sytuacjach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kulę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opisanych na kuli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walec i opisanych na walcu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oblicza pola powierzchni i objętości brył wpisanych w stożek i opisanych na stożku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rysuje odpowiednie przekroje i rozwiązuje zadania dotyczące brył obrotowych i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wielościanów wpisanych w inne wielościany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wykorzystuje podobieństwo brył i skalę podobieństwa </w:t>
            </w:r>
            <w:r>
              <w:rPr>
                <w:sz w:val="22"/>
                <w:szCs w:val="22"/>
              </w:rPr>
              <w:t>podczas</w:t>
            </w:r>
            <w:r w:rsidRPr="003C5E85">
              <w:rPr>
                <w:sz w:val="22"/>
                <w:szCs w:val="22"/>
              </w:rPr>
              <w:t xml:space="preserve"> rozwiąz</w:t>
            </w:r>
            <w:r>
              <w:rPr>
                <w:sz w:val="22"/>
                <w:szCs w:val="22"/>
              </w:rPr>
              <w:t>ywania</w:t>
            </w:r>
            <w:r w:rsidRPr="003C5E85">
              <w:rPr>
                <w:sz w:val="22"/>
                <w:szCs w:val="22"/>
              </w:rPr>
              <w:t xml:space="preserve"> zadań</w:t>
            </w:r>
          </w:p>
        </w:tc>
      </w:tr>
      <w:tr w:rsidR="003252FD" w:rsidRPr="003C5E85" w:rsidTr="004D4E01">
        <w:trPr>
          <w:trHeight w:val="112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 xml:space="preserve">opisuje funkcją jednej zmiennej pole powierzchni lub objętość bryły i określa jej dziedzinę oraz wyznacza jej największą </w:t>
            </w:r>
            <w:r>
              <w:rPr>
                <w:sz w:val="22"/>
                <w:szCs w:val="22"/>
              </w:rPr>
              <w:t>albo</w:t>
            </w:r>
            <w:r w:rsidRPr="003C5E85">
              <w:rPr>
                <w:sz w:val="22"/>
                <w:szCs w:val="22"/>
              </w:rPr>
              <w:t xml:space="preserve"> najmniejszą wartość (zadania optymalizacyjne)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3252FD" w:rsidRPr="003C5E85" w:rsidRDefault="003252FD" w:rsidP="003252FD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rozwiązuje zadania o znacznym stopniu trudności dotyczące brył obrotowych (również z</w:t>
            </w:r>
            <w:r>
              <w:rPr>
                <w:sz w:val="22"/>
                <w:szCs w:val="22"/>
              </w:rPr>
              <w:t> </w:t>
            </w:r>
            <w:r w:rsidRPr="003C5E85">
              <w:rPr>
                <w:sz w:val="22"/>
                <w:szCs w:val="22"/>
              </w:rPr>
              <w:t>wykorzystaniem trygonometrii)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dowody twierdzeń dotyczących związków miarowych w bryłach obrotowych</w:t>
            </w:r>
          </w:p>
        </w:tc>
      </w:tr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wyprowadza wzory na objętość i pole powierzchni bocznej stożka ściętego</w:t>
            </w:r>
          </w:p>
        </w:tc>
      </w:tr>
    </w:tbl>
    <w:p w:rsidR="003252FD" w:rsidRPr="003C5E85" w:rsidRDefault="003252FD" w:rsidP="003252FD">
      <w:pPr>
        <w:pStyle w:val="Nagwek1"/>
        <w:rPr>
          <w:sz w:val="22"/>
          <w:szCs w:val="22"/>
        </w:rPr>
      </w:pPr>
    </w:p>
    <w:p w:rsidR="003252FD" w:rsidRDefault="003252FD" w:rsidP="003252FD">
      <w:pPr>
        <w:pStyle w:val="Nagwek1"/>
        <w:rPr>
          <w:sz w:val="22"/>
          <w:szCs w:val="22"/>
        </w:rPr>
      </w:pPr>
    </w:p>
    <w:p w:rsidR="003252FD" w:rsidRPr="003C5E85" w:rsidRDefault="003252FD" w:rsidP="003252FD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>4. PRZYKŁADY DOWODÓW W MATEMATYCE</w:t>
      </w:r>
    </w:p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 xml:space="preserve">(K) </w:t>
      </w:r>
      <w:r w:rsidRPr="003C5E85">
        <w:rPr>
          <w:sz w:val="22"/>
          <w:szCs w:val="22"/>
        </w:rPr>
        <w:t>lub</w:t>
      </w:r>
      <w:r w:rsidRPr="003C5E85">
        <w:rPr>
          <w:b/>
          <w:bCs/>
          <w:sz w:val="22"/>
          <w:szCs w:val="22"/>
        </w:rPr>
        <w:t xml:space="preserve"> (P)</w:t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 xml:space="preserve">dopuszczającą </w:t>
      </w:r>
      <w:r w:rsidRPr="003C5E85">
        <w:rPr>
          <w:sz w:val="22"/>
          <w:szCs w:val="22"/>
        </w:rPr>
        <w:t xml:space="preserve">lub </w:t>
      </w:r>
      <w:r w:rsidRPr="003C5E85">
        <w:rPr>
          <w:b/>
          <w:bCs/>
          <w:sz w:val="22"/>
          <w:szCs w:val="22"/>
        </w:rPr>
        <w:t>dostateczną</w:t>
      </w:r>
      <w:r w:rsidRPr="003C5E85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liczb całkowitych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proste dowody, stosując metodę równoważnego przekształcania tezy</w:t>
            </w:r>
            <w:r w:rsidRPr="003C5E85" w:rsidDel="00B32C5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proste dowody dotyczące własności figur płaskich</w:t>
            </w:r>
          </w:p>
        </w:tc>
      </w:tr>
    </w:tbl>
    <w:p w:rsidR="003252FD" w:rsidRPr="003C5E85" w:rsidRDefault="003252FD" w:rsidP="003252FD">
      <w:pPr>
        <w:jc w:val="both"/>
        <w:rPr>
          <w:sz w:val="22"/>
          <w:szCs w:val="22"/>
        </w:rPr>
      </w:pPr>
    </w:p>
    <w:p w:rsidR="003252FD" w:rsidRPr="003C5E85" w:rsidRDefault="003252FD" w:rsidP="003252FD">
      <w:pPr>
        <w:tabs>
          <w:tab w:val="left" w:pos="3855"/>
        </w:tabs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t xml:space="preserve">Poziom </w:t>
      </w:r>
      <w:r w:rsidRPr="003C5E85">
        <w:rPr>
          <w:b/>
          <w:bCs/>
          <w:sz w:val="22"/>
          <w:szCs w:val="22"/>
        </w:rPr>
        <w:t>(R)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(D)</w:t>
      </w:r>
      <w:r w:rsidRPr="003C5E85">
        <w:rPr>
          <w:b/>
          <w:bCs/>
          <w:sz w:val="22"/>
          <w:szCs w:val="22"/>
        </w:rPr>
        <w:tab/>
      </w:r>
    </w:p>
    <w:p w:rsidR="003252FD" w:rsidRPr="003C5E85" w:rsidRDefault="003252FD" w:rsidP="003252FD">
      <w:pPr>
        <w:jc w:val="both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dobrą</w:t>
      </w:r>
      <w:r w:rsidRPr="003C5E85">
        <w:rPr>
          <w:sz w:val="22"/>
          <w:szCs w:val="22"/>
        </w:rPr>
        <w:t xml:space="preserve"> lub </w:t>
      </w:r>
      <w:r w:rsidRPr="003C5E85">
        <w:rPr>
          <w:b/>
          <w:bCs/>
          <w:sz w:val="22"/>
          <w:szCs w:val="22"/>
        </w:rPr>
        <w:t>bardzo dobrą</w:t>
      </w:r>
      <w:r w:rsidRPr="003C5E85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trudniejsze dowody dotyczące własności liczb całkowitych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trudniejsze dowody dotyczące nierówności, wykorzystując zależność między średnią arytmetyczną a średnią geometryczną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stosuje metodę równoważnego przekształcenia tezy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Pr="003C5E85">
              <w:rPr>
                <w:bCs/>
                <w:sz w:val="22"/>
                <w:szCs w:val="22"/>
              </w:rPr>
              <w:t>w trudnych sytuacjach</w:t>
            </w:r>
          </w:p>
        </w:tc>
      </w:tr>
      <w:tr w:rsidR="003252FD" w:rsidRPr="003C5E85" w:rsidTr="004D4E01">
        <w:trPr>
          <w:trHeight w:val="30"/>
        </w:trPr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3C5E85">
              <w:rPr>
                <w:sz w:val="22"/>
                <w:szCs w:val="22"/>
              </w:rPr>
              <w:t>przeprowadza trudne dowody dotyczące własności figur płaskich</w:t>
            </w:r>
          </w:p>
        </w:tc>
      </w:tr>
    </w:tbl>
    <w:p w:rsidR="003252FD" w:rsidRPr="003C5E85" w:rsidRDefault="003252FD" w:rsidP="003252FD">
      <w:pPr>
        <w:jc w:val="both"/>
        <w:rPr>
          <w:b/>
          <w:bCs/>
          <w:sz w:val="22"/>
          <w:szCs w:val="22"/>
        </w:rPr>
      </w:pPr>
      <w:r w:rsidRPr="003C5E85">
        <w:rPr>
          <w:sz w:val="22"/>
          <w:szCs w:val="22"/>
        </w:rPr>
        <w:br/>
        <w:t>Poziom</w:t>
      </w:r>
      <w:r w:rsidRPr="003C5E85">
        <w:rPr>
          <w:b/>
          <w:bCs/>
          <w:sz w:val="22"/>
          <w:szCs w:val="22"/>
        </w:rPr>
        <w:t xml:space="preserve"> (W)</w:t>
      </w:r>
    </w:p>
    <w:p w:rsidR="003252FD" w:rsidRPr="003C5E85" w:rsidRDefault="003252FD" w:rsidP="003252FD">
      <w:pPr>
        <w:pStyle w:val="Tekstpodstawowy"/>
        <w:rPr>
          <w:sz w:val="22"/>
          <w:szCs w:val="22"/>
        </w:rPr>
      </w:pPr>
      <w:r w:rsidRPr="003C5E85">
        <w:rPr>
          <w:sz w:val="22"/>
          <w:szCs w:val="22"/>
        </w:rPr>
        <w:t xml:space="preserve">Uczeń otrzymuje ocenę </w:t>
      </w:r>
      <w:r w:rsidRPr="003C5E85">
        <w:rPr>
          <w:b/>
          <w:bCs/>
          <w:sz w:val="22"/>
          <w:szCs w:val="22"/>
        </w:rPr>
        <w:t>celującą</w:t>
      </w:r>
      <w:r w:rsidRPr="003C5E85">
        <w:rPr>
          <w:sz w:val="22"/>
          <w:szCs w:val="22"/>
        </w:rPr>
        <w:t xml:space="preserve">, jeśli opanował wiedzę i umiejętności z poziomów </w:t>
      </w:r>
      <w:r>
        <w:rPr>
          <w:sz w:val="22"/>
          <w:szCs w:val="22"/>
        </w:rPr>
        <w:t xml:space="preserve">od </w:t>
      </w:r>
      <w:r w:rsidRPr="003C5E85">
        <w:rPr>
          <w:sz w:val="22"/>
          <w:szCs w:val="22"/>
        </w:rPr>
        <w:t xml:space="preserve">(K) </w:t>
      </w:r>
      <w:r>
        <w:rPr>
          <w:sz w:val="22"/>
          <w:szCs w:val="22"/>
        </w:rPr>
        <w:t>do</w:t>
      </w:r>
      <w:r w:rsidRPr="003C5E85">
        <w:rPr>
          <w:sz w:val="22"/>
          <w:szCs w:val="22"/>
        </w:rPr>
        <w:t xml:space="preserve"> 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252FD" w:rsidRPr="003C5E85" w:rsidTr="004D4E01">
        <w:tc>
          <w:tcPr>
            <w:tcW w:w="9212" w:type="dxa"/>
          </w:tcPr>
          <w:p w:rsidR="003252FD" w:rsidRPr="003C5E85" w:rsidRDefault="003252FD" w:rsidP="004D4E01">
            <w:pPr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3C5E85">
              <w:rPr>
                <w:bCs/>
                <w:sz w:val="22"/>
                <w:szCs w:val="22"/>
              </w:rPr>
              <w:t>przeprowadza dowód nie wprost (np. dotyczący liczb pierwszych)</w:t>
            </w:r>
          </w:p>
        </w:tc>
      </w:tr>
    </w:tbl>
    <w:p w:rsidR="003252FD" w:rsidRPr="003C5E85" w:rsidRDefault="003252FD" w:rsidP="003252FD">
      <w:pPr>
        <w:pStyle w:val="Nagwek1"/>
        <w:rPr>
          <w:sz w:val="22"/>
          <w:szCs w:val="22"/>
        </w:rPr>
      </w:pPr>
    </w:p>
    <w:p w:rsidR="003252FD" w:rsidRPr="003C5E85" w:rsidRDefault="003252FD" w:rsidP="003252FD">
      <w:pPr>
        <w:pStyle w:val="Nagwek1"/>
        <w:rPr>
          <w:sz w:val="22"/>
          <w:szCs w:val="22"/>
        </w:rPr>
      </w:pPr>
    </w:p>
    <w:p w:rsidR="003252FD" w:rsidRPr="003C5E85" w:rsidRDefault="003252FD" w:rsidP="003252FD">
      <w:pPr>
        <w:pStyle w:val="Nagwek1"/>
        <w:rPr>
          <w:sz w:val="22"/>
          <w:szCs w:val="22"/>
        </w:rPr>
      </w:pPr>
      <w:r w:rsidRPr="003C5E85">
        <w:rPr>
          <w:sz w:val="22"/>
          <w:szCs w:val="22"/>
        </w:rPr>
        <w:t xml:space="preserve">5. POWTÓRZENIE </w:t>
      </w:r>
    </w:p>
    <w:p w:rsidR="003252FD" w:rsidRPr="003C5E85" w:rsidRDefault="003252FD" w:rsidP="003252FD">
      <w:pPr>
        <w:rPr>
          <w:sz w:val="22"/>
          <w:szCs w:val="22"/>
        </w:rPr>
      </w:pPr>
      <w:r w:rsidRPr="003C5E85">
        <w:rPr>
          <w:sz w:val="22"/>
          <w:szCs w:val="22"/>
        </w:rPr>
        <w:t xml:space="preserve">Wymagania dotyczące powtarzanych wiadomości zostały opisane w propozycjach przedmiotowego systemu oceniania dla klas pierwszej, drugiej i trzeciej. </w:t>
      </w:r>
      <w:r>
        <w:rPr>
          <w:sz w:val="22"/>
          <w:szCs w:val="22"/>
        </w:rPr>
        <w:t>Z kolei te z</w:t>
      </w:r>
      <w:r w:rsidRPr="003C5E85">
        <w:rPr>
          <w:sz w:val="22"/>
          <w:szCs w:val="22"/>
        </w:rPr>
        <w:t xml:space="preserve"> zakres</w:t>
      </w:r>
      <w:r>
        <w:rPr>
          <w:sz w:val="22"/>
          <w:szCs w:val="22"/>
        </w:rPr>
        <w:t>u</w:t>
      </w:r>
      <w:r w:rsidRPr="003C5E85">
        <w:rPr>
          <w:sz w:val="22"/>
          <w:szCs w:val="22"/>
        </w:rPr>
        <w:t xml:space="preserve"> rachunku prawdopodobieństwa i stereometrii</w:t>
      </w:r>
      <w:r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są</w:t>
      </w:r>
      <w:r w:rsidRPr="003C5E85">
        <w:rPr>
          <w:sz w:val="22"/>
          <w:szCs w:val="22"/>
        </w:rPr>
        <w:t xml:space="preserve"> </w:t>
      </w:r>
      <w:r w:rsidRPr="003C5E85">
        <w:rPr>
          <w:bCs/>
          <w:sz w:val="22"/>
          <w:szCs w:val="22"/>
        </w:rPr>
        <w:t>opisane powyżej.</w:t>
      </w:r>
    </w:p>
    <w:p w:rsidR="003252FD" w:rsidRPr="003C5E85" w:rsidRDefault="003252FD" w:rsidP="003252FD">
      <w:pPr>
        <w:rPr>
          <w:b/>
          <w:bCs/>
          <w:sz w:val="22"/>
          <w:szCs w:val="22"/>
        </w:rPr>
      </w:pPr>
    </w:p>
    <w:p w:rsidR="00EA6512" w:rsidRDefault="00EA6512"/>
    <w:sectPr w:rsidR="00EA6512" w:rsidSect="0080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D2" w:rsidRDefault="00CE13D2">
      <w:r>
        <w:separator/>
      </w:r>
    </w:p>
  </w:endnote>
  <w:endnote w:type="continuationSeparator" w:id="0">
    <w:p w:rsidR="00CE13D2" w:rsidRDefault="00CE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F" w:rsidRDefault="003252FD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D3F" w:rsidRDefault="00CE13D2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F" w:rsidRDefault="003252FD" w:rsidP="005278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0465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11D3F" w:rsidRDefault="00CE13D2" w:rsidP="00D62CB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EA" w:rsidRDefault="00BF4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D2" w:rsidRDefault="00CE13D2">
      <w:r>
        <w:separator/>
      </w:r>
    </w:p>
  </w:footnote>
  <w:footnote w:type="continuationSeparator" w:id="0">
    <w:p w:rsidR="00CE13D2" w:rsidRDefault="00CE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EA" w:rsidRDefault="00BF45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3F" w:rsidRPr="000275DF" w:rsidRDefault="00CE13D2" w:rsidP="000275DF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EA" w:rsidRDefault="00BF4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BA5A5B"/>
    <w:multiLevelType w:val="hybridMultilevel"/>
    <w:tmpl w:val="2BBC3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E7"/>
    <w:rsid w:val="00067DE7"/>
    <w:rsid w:val="000D0465"/>
    <w:rsid w:val="003252FD"/>
    <w:rsid w:val="00BF45EA"/>
    <w:rsid w:val="00CE13D2"/>
    <w:rsid w:val="00EA6512"/>
    <w:rsid w:val="00E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2F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252FD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2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2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52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2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52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5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5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2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52FD"/>
  </w:style>
  <w:style w:type="paragraph" w:styleId="Nagwek">
    <w:name w:val="header"/>
    <w:basedOn w:val="Normalny"/>
    <w:link w:val="NagwekZnak"/>
    <w:uiPriority w:val="99"/>
    <w:rsid w:val="00325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2FD"/>
    <w:pPr>
      <w:ind w:left="720"/>
      <w:contextualSpacing/>
    </w:pPr>
  </w:style>
  <w:style w:type="paragraph" w:customStyle="1" w:styleId="TytulArial20">
    <w:name w:val="Tytul Arial 20"/>
    <w:basedOn w:val="Nagwek2"/>
    <w:link w:val="TytulArial20Znak"/>
    <w:qFormat/>
    <w:rsid w:val="003252F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character" w:customStyle="1" w:styleId="TytulArial20Znak">
    <w:name w:val="Tytul Arial 20 Znak"/>
    <w:basedOn w:val="Domylnaczcionkaakapitu"/>
    <w:link w:val="TytulArial20"/>
    <w:rsid w:val="003252FD"/>
    <w:rPr>
      <w:rFonts w:ascii="Arial" w:eastAsia="Times New Roman" w:hAnsi="Arial" w:cs="Arial"/>
      <w:b/>
      <w:bCs/>
      <w:color w:val="92D050"/>
      <w:sz w:val="40"/>
      <w:szCs w:val="40"/>
    </w:rPr>
  </w:style>
  <w:style w:type="paragraph" w:customStyle="1" w:styleId="StronaTytuowaAutorzy">
    <w:name w:val="Strona Tytułowa Autorzy"/>
    <w:qFormat/>
    <w:rsid w:val="003252FD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pl-PL"/>
    </w:rPr>
  </w:style>
  <w:style w:type="paragraph" w:customStyle="1" w:styleId="StronaTytuowaTytu">
    <w:name w:val="Strona Tytułowa Tytuł"/>
    <w:qFormat/>
    <w:rsid w:val="003252FD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szCs w:val="24"/>
      <w:lang w:eastAsia="pl-PL"/>
    </w:rPr>
  </w:style>
  <w:style w:type="paragraph" w:customStyle="1" w:styleId="StronaTytuowaCopyright">
    <w:name w:val="Strona Tytułowa Copyright"/>
    <w:basedOn w:val="Normalny"/>
    <w:qFormat/>
    <w:rsid w:val="003252FD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52F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252FD"/>
    <w:pPr>
      <w:keepNext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52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2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252F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52F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252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25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252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52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252FD"/>
  </w:style>
  <w:style w:type="paragraph" w:styleId="Nagwek">
    <w:name w:val="header"/>
    <w:basedOn w:val="Normalny"/>
    <w:link w:val="NagwekZnak"/>
    <w:uiPriority w:val="99"/>
    <w:rsid w:val="003252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52FD"/>
    <w:pPr>
      <w:ind w:left="720"/>
      <w:contextualSpacing/>
    </w:pPr>
  </w:style>
  <w:style w:type="paragraph" w:customStyle="1" w:styleId="TytulArial20">
    <w:name w:val="Tytul Arial 20"/>
    <w:basedOn w:val="Nagwek2"/>
    <w:link w:val="TytulArial20Znak"/>
    <w:qFormat/>
    <w:rsid w:val="003252FD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character" w:customStyle="1" w:styleId="TytulArial20Znak">
    <w:name w:val="Tytul Arial 20 Znak"/>
    <w:basedOn w:val="Domylnaczcionkaakapitu"/>
    <w:link w:val="TytulArial20"/>
    <w:rsid w:val="003252FD"/>
    <w:rPr>
      <w:rFonts w:ascii="Arial" w:eastAsia="Times New Roman" w:hAnsi="Arial" w:cs="Arial"/>
      <w:b/>
      <w:bCs/>
      <w:color w:val="92D050"/>
      <w:sz w:val="40"/>
      <w:szCs w:val="40"/>
    </w:rPr>
  </w:style>
  <w:style w:type="paragraph" w:customStyle="1" w:styleId="StronaTytuowaAutorzy">
    <w:name w:val="Strona Tytułowa Autorzy"/>
    <w:qFormat/>
    <w:rsid w:val="003252FD"/>
    <w:pPr>
      <w:spacing w:after="0" w:line="240" w:lineRule="auto"/>
      <w:jc w:val="center"/>
    </w:pPr>
    <w:rPr>
      <w:rFonts w:ascii="Roboto Light" w:eastAsia="Calibri" w:hAnsi="Roboto Light" w:cs="Times New Roman"/>
      <w:color w:val="000000" w:themeColor="text1"/>
      <w:sz w:val="32"/>
      <w:szCs w:val="32"/>
      <w:lang w:eastAsia="pl-PL"/>
    </w:rPr>
  </w:style>
  <w:style w:type="paragraph" w:customStyle="1" w:styleId="StronaTytuowaTytu">
    <w:name w:val="Strona Tytułowa Tytuł"/>
    <w:qFormat/>
    <w:rsid w:val="003252FD"/>
    <w:pPr>
      <w:suppressAutoHyphens/>
      <w:spacing w:after="0" w:line="240" w:lineRule="auto"/>
      <w:jc w:val="center"/>
    </w:pPr>
    <w:rPr>
      <w:rFonts w:ascii="Roboto" w:eastAsia="Calibri" w:hAnsi="Roboto" w:cs="Times New Roman"/>
      <w:sz w:val="64"/>
      <w:szCs w:val="24"/>
      <w:lang w:eastAsia="pl-PL"/>
    </w:rPr>
  </w:style>
  <w:style w:type="paragraph" w:customStyle="1" w:styleId="StronaTytuowaCopyright">
    <w:name w:val="Strona Tytułowa Copyright"/>
    <w:basedOn w:val="Normalny"/>
    <w:qFormat/>
    <w:rsid w:val="003252FD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2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1791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Kanarek</dc:creator>
  <cp:keywords/>
  <dc:description/>
  <cp:lastModifiedBy>Mariusz Kanarek</cp:lastModifiedBy>
  <cp:revision>5</cp:revision>
  <dcterms:created xsi:type="dcterms:W3CDTF">2022-09-08T18:03:00Z</dcterms:created>
  <dcterms:modified xsi:type="dcterms:W3CDTF">2022-09-08T18:22:00Z</dcterms:modified>
</cp:coreProperties>
</file>